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255</w:t>
      </w:r>
    </w:p>
    <w:p>
      <w:r>
        <w:t>Bundesgericht (BGE), 2008-02-06, DE</w:t>
      </w:r>
    </w:p>
    <w:p>
      <w:r>
        <w:rPr>
          <w:b/>
        </w:rPr>
        <w:t xml:space="preserve">Quelle: </w:t>
      </w:r>
      <w:r>
        <w:t>https://mcp.opencaselaw.ch/entscheid/bge_134 III 255</w:t>
      </w:r>
    </w:p>
    <w:p>
      <w:r>
        <w:t>FR: ATF 134 III 255</w:t>
      </w:r>
    </w:p>
    <w:p>
      <w:r>
        <w:t>IT: DTF 134 III 255</w:t>
      </w:r>
    </w:p>
    <w:p>
      <w:pPr>
        <w:pStyle w:val="Heading2"/>
      </w:pPr>
      <w:r>
        <w:t>Regeste</w:t>
      </w:r>
    </w:p>
    <w:p>
      <w:r>
        <w:t>Regeste Edition eines Unternehmensbewertungsberichts im Klageverfahren nach Art. 105 FusG. Aus Art. 14 und 16 FusG kann nicht abgeleitet werden, das Fusionsgesetz behandle einen Bewertungsbericht als integral nicht zu offenbarendes Geschäftsgeheimnis (E. 2.3). Im Klageverfahren nach Art. 105 FusG muss es der klagenden Partei möglich sein, den Beweis mit allen Beweismitteln und somit grundsätzlich auch mit dem Bewertungsbericht zu führen (E. 2.4). Beruft sich die herausgabepflichtige Partei auf im Bewertungsbericht enthaltene Geschäftsgeheimnisse, ist eine Interessenabwägung vorzunehmen (E. 2.5).</w:t>
      </w:r>
    </w:p>
    <w:p>
      <w:pPr>
        <w:pStyle w:val="Heading2"/>
      </w:pPr>
      <w:r>
        <w:t>Erwägungen</w:t>
      </w:r>
    </w:p>
    <w:p>
      <w:r>
        <w:rPr>
          <w:b/>
        </w:rPr>
        <w:t>E. 2.3</w:t>
      </w:r>
    </w:p>
    <w:p>
      <w:r>
        <w:t>Die Bestimmung von Art. 14 des Bundesgesetzes vom 3. Oktober 2003 über Fusion, Spaltung, Umwandlung und Vermögensübertragung (FusG; SR 221.301) zum Fusionsbericht bezweckt in erster Linie, den Gesellschaftern die erforderlichen Informationen als Entscheidgrundlage für eine sachgerechte Beschlussfassung über die beantragte Fusion zur Verfügung zu stellen (Botschaft vom 13. Juni 2000 zum Bundesgesetz über Fusion, Spaltung, Umwandlung und Vermögensübertragung, BBl 2000 S. 4337 ff., 4410; BEAT KÜHNI, Fusionsgesetz, Basler Kommentar, N. 5 zu Art. 14 FusG ). Die obersten Leitungs- oder Verwaltungsorgane der an der Fusion beteiligten Gesellschaften müssen einen schriftlichen Bericht über die Fusion erstellen, in dem insbesondere das Umtauschverhältnis für Anteile zu erläutern und zu begründen ist ( Art. 14 Abs. 3 lit. c FusG ). In der Lehre wird die Meinung vertreten, eine integrale Offenlegung des Bewertungsgutachens im Fusionsbericht zur Erläuterung der Umtauschverhältnisse sei vom Informationsinteresse der Gesellschafter nicht mehr gedeckt und für die Plausibilitätskontrolle der Gesellschafter im Hinblick auf die Beschlussfassung über die Fusion auch nicht erforderlich (ALBERT COMBOEUF, Fusionsgesetz, Stämpflis Handkommentar, N. 27 zu Art. 14 FusG ; BEAT KÜHNI, a.a.O., N. 47e zu Art. 14 FusG ). Art. 16 FusG regelt die gesellschaftsinterne Offenlegung der wesentlichen Unterlagen zur Fusion vor der Beschlussfassung durch die Generalversammlung. Nach dieser Bestimmung muss jede der an der Fusion beteiligten Gesellschaften den Gesellschaftern während der 30 Tage vor der Beschlussfassung Einsicht in verschiedene Unterlagen (Fusionsvertrag, Fusionsbericht, Prüfungsbericht, Jahresrechnungen und Jahresberichte der letzten drei Geschäftsjahre sowie gegebenenfalls Zwischenbilanz) aller an der Fusion beteiligten Gesellschaften gewähren. Das Einsichtsrecht nach Art. 16 FusG gewährleistet die innergesellschaftliche Transparenz des Fusionsverfahrens und soll der Willensbildung der Gesellschafter im Hinblick auf die Beschlussfassung über die Fusion an der Generalversammlung dienen (Botschaft, a.a.O., S. 4415). Art. 16 FusG regelt demnach nicht das Einsichtsrecht im Stadium der Überprüfungsklage gemäss Art. 105 FusG nach erfolgter Beschlussfassung über die Fusion. Entgegen den Ausführungen der Beschwerdeführerin kann aus Art. 14 und 16 FusG auch nicht abgeleitet werden, das BGE 134 III 255 S. 259 Fusionsgesetz behandle ein Bewertungsgutachten generell als schutzwürdiges Geschäftsgeheimnis.</w:t>
      </w:r>
    </w:p>
    <w:p>
      <w:r>
        <w:rPr>
          <w:b/>
        </w:rPr>
        <w:t>E. 2.4</w:t>
      </w:r>
    </w:p>
    <w:p>
      <w:r>
        <w:t>Nach Art. 105 Abs. 1 FusG kann jeder Gesellschafter innerhalb von zwei Monaten nach der Veröffentlichung des Fusionsberichts verlangen, dass das Gericht eine angemessene Ausgleichszahlung festsetzt, wenn bei der Fusion die Anteils- oder Mitgliedschaftsrechte nicht angemessen gewahrt sind oder die Abfindung nicht angemessen ist. In der Literatur wird postuliert, dass an die Substantiierung bei der Klage nach Art. 105 FusG keine zu hohen Anforderungen gestellt werden dürfen (FELIX C. MEIER-DIETERLE, Zürcher Kommentar zum Fusionsgesetz, N. 46 zu Art. 105 FusG ; DANIEL EMCH, System des Rechtsschutzes im Fusionsgesetz, Diss. Bern 2006, S. 153; KARIN EUGSTER, Die Überprüfung der Anteils- und Mitgliedschaftsrechte nach Art. 105 FusG , Diss. Zürich 2006, S. 147 Rz. 372). Die klagende Partei trägt nach Art. 8 ZGB die Beweislast für das Vorliegen der Tatbestandsvoraussetzungen von Art. 105 Abs. 1 FusG (FELIX C. MEIER-DIETERLE, a.a.O., N. 46 zu Art. 105 FusG ; DANIEL EMCH, a.a.O., S. 151; KARIN EUGSTER, a.a.O., S. 146 Rz. 370) und das Beweismass ist jenes der strikten Beweisführung (DANIEL EMCH, a.a.O., S. 154). Demnach muss es der klagenden Partei möglich sein, den Beweis mit allen Beweismitteln zu führen (vgl. KARIN EUGSTER, a.a.O., S. 148 Rz. 374); grundsätzlich auch mit dem Bewertungsbericht, muss sich der Aktionär doch im Klageverfahren nicht mehr mit einer blossen Plausibilitätsprüfung zufriedengeben.</w:t>
      </w:r>
    </w:p>
    <w:p>
      <w:r>
        <w:rPr>
          <w:b/>
        </w:rPr>
        <w:t>E. 2.5</w:t>
      </w:r>
    </w:p>
    <w:p>
      <w:r>
        <w:t>Aus dem Fusionsgesetz lässt sich demnach nicht herleiten, dass die Edition des Bewertungsberichts im Klageverfahren nach Art. 105 FusG grundsätzlich unzulässig wäre und es sich bei der Unternehmensbewertung um ein integral nicht zu offenbarendes Geschäftsgeheimnis handeln würde. Dies bedeutet indes nicht, dass die Beschwerdeführerin im Bewertungsbericht enthaltene Geschäftsgeheimnisse im Verfahren nach Art. 105 FusG nicht schützen lassen könnte. Wie die Vorinstanz zu Recht ausgeführt hat, ist bei einem Editionsbegehren eine Interessenabwägung vorzunehmen, wenn sich die herausgabepflichtige Partei auf Geheimhaltungsinteressen beruft. Diese hat jedoch hinreichend zu substantiieren, inwiefern solche geheimzuhaltende Informationen vorliegen. Dieser Pflicht ist die Beschwerdeführerin gemäss den vorinstanzlichen Ausführungen nicht nachgekommen. Sie macht vor Bundesgericht zudem nicht geltend, die Vorinstanz wäre zu Unrecht davon ausgegangen, sie habe nicht substantiiert dargelegt, dass der Bewertungsbericht der Z. AG BGE 134 III 255 S. 260 schützenswerte Geschäftsgeheimnisse enthalte. Auch rügt sie keine willkürliche Anwendung von Art. 160 Abs. 1 i.V.m. Art. 171 ZPO /GR. Die Beschwerdeführerin hat somit den Bewertungsbericht der Z. AG vom 10. November 2005 dem Beschwerdegegner und den Nebenintervenienten im Klageverfahren nach Art. 105 FusG zur Einsicht offenzulegen.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